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Business handover checklist</w:t>
      </w:r>
    </w:p>
    <w:p>
      <w:r>
        <w:t xml:space="preserve">Pivot Point Advisory | Editable planning worksheet</w:t>
      </w:r>
    </w:p>
    <w:p>
      <w:r>
        <w:t xml:space="preserve">Business: ____________________   Owner: ____________________   Review date: ____________________</w:t>
      </w:r>
    </w:p>
    <w:p>
      <w:r>
        <w:t xml:space="preserve">Adapt this original worksheet to your circumstances. It supports discussion and planning; legal, tax and transaction documents require appropriate professional advice.</w:t>
      </w:r>
    </w:p>
    <w:tbl>
      <w:tblPr>
        <w:tblBorders>
          <w:top w:val="single" w:sz="4" w:color="A2B8C5"/>
          <w:left w:val="single" w:sz="4" w:color="A2B8C5"/>
          <w:bottom w:val="single" w:sz="4" w:color="A2B8C5"/>
          <w:right w:val="single" w:sz="4" w:color="A2B8C5"/>
          <w:insideH w:val="single" w:sz="4" w:color="A2B8C5"/>
          <w:insideV w:val="single" w:sz="4" w:color="A2B8C5"/>
        </w:tblBorders>
      </w:tblPr>
      <w:tr>
        <w:tc>
          <w:tcPr>
            <w:tcW w:w="2000" w:type="dxa"/>
          </w:tcPr>
          <w:p>
            <w:r>
              <w:t xml:space="preserve">Workstream</w:t>
            </w:r>
          </w:p>
        </w:tc>
        <w:tc>
          <w:tcPr>
            <w:tcW w:w="2000" w:type="dxa"/>
          </w:tcPr>
          <w:p>
            <w:r>
              <w:t xml:space="preserve">Task or evidence</w:t>
            </w:r>
          </w:p>
        </w:tc>
        <w:tc>
          <w:tcPr>
            <w:tcW w:w="2000" w:type="dxa"/>
          </w:tcPr>
          <w:p>
            <w:r>
              <w:t xml:space="preserve">Outgoing owner</w:t>
            </w:r>
          </w:p>
        </w:tc>
        <w:tc>
          <w:tcPr>
            <w:tcW w:w="2000" w:type="dxa"/>
          </w:tcPr>
          <w:p>
            <w:r>
              <w:t xml:space="preserve">Incoming owner</w:t>
            </w:r>
          </w:p>
        </w:tc>
        <w:tc>
          <w:tcPr>
            <w:tcW w:w="2000" w:type="dxa"/>
          </w:tcPr>
          <w:p>
            <w:r>
              <w:t xml:space="preserve">Due date</w:t>
            </w:r>
          </w:p>
        </w:tc>
        <w:tc>
          <w:tcPr>
            <w:tcW w:w="2000" w:type="dxa"/>
          </w:tcPr>
          <w:p>
            <w:r>
              <w:t xml:space="preserve">Signed off</w:t>
            </w:r>
          </w:p>
        </w:tc>
      </w:tr>
      <w:tr>
        <w:tc>
          <w:tcPr>
            <w:tcW w:w="2000" w:type="dxa"/>
          </w:tcPr>
          <w:p>
            <w:r>
              <w:t xml:space="preserve">People</w:t>
            </w:r>
          </w:p>
        </w:tc>
        <w:tc>
          <w:tcPr>
            <w:tcW w:w="2000" w:type="dxa"/>
          </w:tcPr>
          <w:p>
            <w:r>
              <w:t xml:space="preserve">Roles, key contacts and unresolved matters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Customers</w:t>
            </w:r>
          </w:p>
        </w:tc>
        <w:tc>
          <w:tcPr>
            <w:tcW w:w="2000" w:type="dxa"/>
          </w:tcPr>
          <w:p>
            <w:r>
              <w:t xml:space="preserve">Introductions, contracts and active commitments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Finance</w:t>
            </w:r>
          </w:p>
        </w:tc>
        <w:tc>
          <w:tcPr>
            <w:tcW w:w="2000" w:type="dxa"/>
          </w:tcPr>
          <w:p>
            <w:r>
              <w:t xml:space="preserve">Reporting, payment authority and upcoming obligations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Operations</w:t>
            </w:r>
          </w:p>
        </w:tc>
        <w:tc>
          <w:tcPr>
            <w:tcW w:w="2000" w:type="dxa"/>
          </w:tcPr>
          <w:p>
            <w:r>
              <w:t xml:space="preserve">Processes, suppliers, stock and open work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Systems</w:t>
            </w:r>
          </w:p>
        </w:tc>
        <w:tc>
          <w:tcPr>
            <w:tcW w:w="2000" w:type="dxa"/>
          </w:tcPr>
          <w:p>
            <w:r>
              <w:t xml:space="preserve">Authorised access, backups and security ownership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Governance</w:t>
            </w:r>
          </w:p>
        </w:tc>
        <w:tc>
          <w:tcPr>
            <w:tcW w:w="2000" w:type="dxa"/>
          </w:tcPr>
          <w:p>
            <w:r>
              <w:t xml:space="preserve">Decision rights, records and required approvals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Follow-up</w:t>
            </w:r>
          </w:p>
        </w:tc>
        <w:tc>
          <w:tcPr>
            <w:tcW w:w="2000" w:type="dxa"/>
          </w:tcPr>
          <w:p>
            <w:r>
              <w:t xml:space="preserve">Support period, escalation and review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</w:tbl>
    <w:p>
      <w:r>
        <w:t xml:space="preserve">Decisions and next actions:</w:t>
      </w:r>
    </w:p>
    <w:p>
      <w:r>
        <w:t xml:space="preserve"/>
      </w:r>
    </w:p>
    <w:p>
      <w:r>
        <w:t xml:space="preserve">https://pivotpointadvisory.co.nz/contact</w:t>
      </w:r>
    </w:p>
    <w:sectPr>
      <w:pgSz w:w="16838" w:h="11906" w:orient="landscape"/>
      <w:pgMar w:top="720" w:right="720" w:bottom="720" w:left="720"/>
    </w:sectPr>
  </w:body>
</w:document>
</file>