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Business continuity planning worksheet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Critical activity</w:t>
            </w:r>
          </w:p>
        </w:tc>
        <w:tc>
          <w:tcPr>
            <w:tcW w:w="2000" w:type="dxa"/>
          </w:tcPr>
          <w:p>
            <w:r>
              <w:t xml:space="preserve">Acceptable interruption</w:t>
            </w:r>
          </w:p>
        </w:tc>
        <w:tc>
          <w:tcPr>
            <w:tcW w:w="2000" w:type="dxa"/>
          </w:tcPr>
          <w:p>
            <w:r>
              <w:t xml:space="preserve">People and dependencies</w:t>
            </w:r>
          </w:p>
        </w:tc>
        <w:tc>
          <w:tcPr>
            <w:tcW w:w="2000" w:type="dxa"/>
          </w:tcPr>
          <w:p>
            <w:r>
              <w:t xml:space="preserve">Fallback</w:t>
            </w:r>
          </w:p>
        </w:tc>
        <w:tc>
          <w:tcPr>
            <w:tcW w:w="2000" w:type="dxa"/>
          </w:tcPr>
          <w:p>
            <w:r>
              <w:t xml:space="preserve">Decision owner</w:t>
            </w:r>
          </w:p>
        </w:tc>
        <w:tc>
          <w:tcPr>
            <w:tcW w:w="2000" w:type="dxa"/>
          </w:tcPr>
          <w:p>
            <w:r>
              <w:t xml:space="preserve">Recovery test</w:t>
            </w:r>
          </w:p>
        </w:tc>
      </w:tr>
      <w:tr>
        <w:tc>
          <w:tcPr>
            <w:tcW w:w="2000" w:type="dxa"/>
          </w:tcPr>
          <w:p>
            <w:r>
              <w:t xml:space="preserve">Customer commitments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Delivery or production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Finance and payments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Systems and records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Suppliers and logistics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Communication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